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2" w:rsidRPr="00EF1272" w:rsidRDefault="00EF1272">
      <w:pPr>
        <w:rPr>
          <w:rFonts w:ascii="Quantify" w:hAnsi="Quantify" w:cs="Quantify"/>
          <w:sz w:val="40"/>
          <w:szCs w:val="40"/>
        </w:rPr>
      </w:pPr>
      <w:r w:rsidRPr="00EF1272">
        <w:rPr>
          <w:rFonts w:ascii="Quantify" w:hAnsi="Quantify" w:cs="Quantify"/>
          <w:sz w:val="40"/>
          <w:szCs w:val="40"/>
        </w:rPr>
        <w:t>IAQ MEMBERS COVID-19 RESOURCE CENTRES</w:t>
      </w:r>
    </w:p>
    <w:p w:rsidR="00EF1272" w:rsidRDefault="00EF1272"/>
    <w:p w:rsidR="00EF1272" w:rsidRPr="00EF1272" w:rsidRDefault="00EF1272">
      <w:pPr>
        <w:rPr>
          <w:sz w:val="32"/>
          <w:szCs w:val="32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41D3B71" wp14:editId="107E235D">
            <wp:simplePos x="0" y="0"/>
            <wp:positionH relativeFrom="column">
              <wp:posOffset>-1024890</wp:posOffset>
            </wp:positionH>
            <wp:positionV relativeFrom="page">
              <wp:posOffset>-95250</wp:posOffset>
            </wp:positionV>
            <wp:extent cx="7954010" cy="10172700"/>
            <wp:effectExtent l="0" t="0" r="8890" b="0"/>
            <wp:wrapNone/>
            <wp:docPr id="2" name="Picture 2" descr="Macintosh HD:Users:imac:Desktop:IAQ:stationary windows:letterhead:jpeg: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IAQ:stationary windows:letterhead:jpeg: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1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F1272">
        <w:rPr>
          <w:sz w:val="32"/>
          <w:szCs w:val="32"/>
        </w:rPr>
        <w:fldChar w:fldCharType="begin"/>
      </w:r>
      <w:r w:rsidRPr="00EF1272">
        <w:rPr>
          <w:sz w:val="32"/>
          <w:szCs w:val="32"/>
        </w:rPr>
        <w:instrText xml:space="preserve"> HYPERLINK "https://www.pwc.com.au/important-problems/coronavirus-covid-19.html" </w:instrText>
      </w:r>
      <w:r w:rsidRPr="00EF1272">
        <w:rPr>
          <w:sz w:val="32"/>
          <w:szCs w:val="32"/>
        </w:rPr>
      </w:r>
      <w:r w:rsidRPr="00EF1272">
        <w:rPr>
          <w:sz w:val="32"/>
          <w:szCs w:val="32"/>
        </w:rPr>
        <w:fldChar w:fldCharType="separate"/>
      </w:r>
      <w:r w:rsidRPr="00EF1272">
        <w:rPr>
          <w:rStyle w:val="Hyperlink"/>
          <w:sz w:val="32"/>
          <w:szCs w:val="32"/>
        </w:rPr>
        <w:t>PwC</w:t>
      </w:r>
      <w:r w:rsidRPr="00EF1272">
        <w:rPr>
          <w:sz w:val="32"/>
          <w:szCs w:val="32"/>
        </w:rPr>
        <w:fldChar w:fldCharType="end"/>
      </w:r>
    </w:p>
    <w:p w:rsidR="00EF1272" w:rsidRPr="00EF1272" w:rsidRDefault="00EF1272">
      <w:pPr>
        <w:rPr>
          <w:sz w:val="32"/>
          <w:szCs w:val="32"/>
        </w:rPr>
      </w:pPr>
      <w:hyperlink r:id="rId6" w:history="1">
        <w:r w:rsidRPr="00EF1272">
          <w:rPr>
            <w:rStyle w:val="Hyperlink"/>
            <w:sz w:val="32"/>
            <w:szCs w:val="32"/>
          </w:rPr>
          <w:t>KPMG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7" w:history="1">
        <w:r w:rsidRPr="00EF1272">
          <w:rPr>
            <w:rStyle w:val="Hyperlink"/>
            <w:sz w:val="32"/>
            <w:szCs w:val="32"/>
          </w:rPr>
          <w:t>Minter Ellison</w:t>
        </w:r>
      </w:hyperlink>
    </w:p>
    <w:p w:rsidR="008D3B5D" w:rsidRPr="00EF1272" w:rsidRDefault="00EF1272">
      <w:pPr>
        <w:rPr>
          <w:sz w:val="32"/>
          <w:szCs w:val="32"/>
        </w:rPr>
      </w:pPr>
      <w:hyperlink r:id="rId8" w:history="1">
        <w:r w:rsidRPr="00EF1272">
          <w:rPr>
            <w:rStyle w:val="Hyperlink"/>
            <w:sz w:val="32"/>
            <w:szCs w:val="32"/>
          </w:rPr>
          <w:t>Holding Redlich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9" w:history="1">
        <w:r w:rsidRPr="00EF1272">
          <w:rPr>
            <w:rStyle w:val="Hyperlink"/>
            <w:sz w:val="32"/>
            <w:szCs w:val="32"/>
          </w:rPr>
          <w:t>AECOM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10" w:history="1">
        <w:r w:rsidRPr="00EF1272">
          <w:rPr>
            <w:rStyle w:val="Hyperlink"/>
            <w:sz w:val="32"/>
            <w:szCs w:val="32"/>
          </w:rPr>
          <w:t>Aurecon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11" w:history="1">
        <w:r w:rsidRPr="00EF1272">
          <w:rPr>
            <w:rStyle w:val="Hyperlink"/>
            <w:sz w:val="32"/>
            <w:szCs w:val="32"/>
          </w:rPr>
          <w:t>Arup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12" w:history="1">
        <w:r w:rsidRPr="00EF1272">
          <w:rPr>
            <w:rStyle w:val="Hyperlink"/>
            <w:sz w:val="32"/>
            <w:szCs w:val="32"/>
          </w:rPr>
          <w:t xml:space="preserve">Clayton </w:t>
        </w:r>
        <w:proofErr w:type="spellStart"/>
        <w:r w:rsidRPr="00EF1272">
          <w:rPr>
            <w:rStyle w:val="Hyperlink"/>
            <w:sz w:val="32"/>
            <w:szCs w:val="32"/>
          </w:rPr>
          <w:t>Utz</w:t>
        </w:r>
        <w:proofErr w:type="spellEnd"/>
      </w:hyperlink>
    </w:p>
    <w:p w:rsidR="00EF1272" w:rsidRPr="00EF1272" w:rsidRDefault="00EF1272">
      <w:pPr>
        <w:rPr>
          <w:sz w:val="32"/>
          <w:szCs w:val="32"/>
        </w:rPr>
      </w:pPr>
      <w:hyperlink r:id="rId13" w:history="1">
        <w:r w:rsidRPr="00EF1272">
          <w:rPr>
            <w:rStyle w:val="Hyperlink"/>
            <w:sz w:val="32"/>
            <w:szCs w:val="32"/>
          </w:rPr>
          <w:t>Corrs Chambers Westgarth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14" w:history="1">
        <w:proofErr w:type="spellStart"/>
        <w:r w:rsidRPr="00EF1272">
          <w:rPr>
            <w:rStyle w:val="Hyperlink"/>
            <w:sz w:val="32"/>
            <w:szCs w:val="32"/>
          </w:rPr>
          <w:t>Allens</w:t>
        </w:r>
        <w:proofErr w:type="spellEnd"/>
      </w:hyperlink>
    </w:p>
    <w:p w:rsidR="00EF1272" w:rsidRPr="00EF1272" w:rsidRDefault="00EF1272">
      <w:pPr>
        <w:rPr>
          <w:sz w:val="32"/>
          <w:szCs w:val="32"/>
        </w:rPr>
      </w:pPr>
      <w:hyperlink r:id="rId15" w:history="1">
        <w:r w:rsidRPr="00EF1272">
          <w:rPr>
            <w:rStyle w:val="Hyperlink"/>
            <w:sz w:val="32"/>
            <w:szCs w:val="32"/>
          </w:rPr>
          <w:t>EY</w:t>
        </w:r>
      </w:hyperlink>
    </w:p>
    <w:p w:rsidR="00EF1272" w:rsidRPr="00EF1272" w:rsidRDefault="00EF1272">
      <w:pPr>
        <w:rPr>
          <w:sz w:val="32"/>
          <w:szCs w:val="32"/>
        </w:rPr>
      </w:pPr>
      <w:hyperlink r:id="rId16" w:history="1">
        <w:r w:rsidRPr="00EF1272">
          <w:rPr>
            <w:rStyle w:val="Hyperlink"/>
            <w:sz w:val="32"/>
            <w:szCs w:val="32"/>
          </w:rPr>
          <w:t>BDO</w:t>
        </w:r>
      </w:hyperlink>
    </w:p>
    <w:sectPr w:rsidR="00EF1272" w:rsidRPr="00EF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ntify">
    <w:altName w:val="Calibri"/>
    <w:panose1 w:val="02000506000000020004"/>
    <w:charset w:val="00"/>
    <w:family w:val="auto"/>
    <w:pitch w:val="variable"/>
    <w:sig w:usb0="00000A8F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9"/>
    <w:rsid w:val="00024BB3"/>
    <w:rsid w:val="00267BC6"/>
    <w:rsid w:val="003D20E9"/>
    <w:rsid w:val="008D3B5D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dingredlich.com/knowledge-covid-19" TargetMode="External"/><Relationship Id="rId13" Type="http://schemas.openxmlformats.org/officeDocument/2006/relationships/hyperlink" Target="https://corrs.com.au/covid-19-navigating-the-implications-for-business-in-austral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terellison.com/covid-19-implications-insights-impact" TargetMode="External"/><Relationship Id="rId12" Type="http://schemas.openxmlformats.org/officeDocument/2006/relationships/hyperlink" Target="https://www.claytonutz.com/covid-19-response?utm_source=homepage&amp;utm_medium=website&amp;utm_campaign=COVID19respons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do.com.au/en-au/covid19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kpmg/au/en/home/insights/2020/03/business-implications-of-covid-19-coronavirus.html" TargetMode="External"/><Relationship Id="rId11" Type="http://schemas.openxmlformats.org/officeDocument/2006/relationships/hyperlink" Target="https://www.arup.com/covid-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y.com/en_au/covid-19/planning-for-covid-19-recovery-what-s-next" TargetMode="External"/><Relationship Id="rId10" Type="http://schemas.openxmlformats.org/officeDocument/2006/relationships/hyperlink" Target="https://www.aurecongroup.com/thinking/insights/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s.aecom.com/coronavirus-resilience/?utm_source=web&amp;utm_medium=homepage_carouse&amp;utm_campaign=covid19&amp;_ga=2.253757896.194210214.1587687093-5307544.1587687093" TargetMode="External"/><Relationship Id="rId14" Type="http://schemas.openxmlformats.org/officeDocument/2006/relationships/hyperlink" Target="https://www.allens.com.au/insights-news/insights/hubs/covid-19-in-the-spotlight-insights-and-analy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2020-04-24T00:08:00Z</dcterms:created>
  <dcterms:modified xsi:type="dcterms:W3CDTF">2020-04-27T00:16:00Z</dcterms:modified>
</cp:coreProperties>
</file>